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36"/>
          <w:szCs w:val="36"/>
        </w:rPr>
      </w:pPr>
      <w:r>
        <w:rPr>
          <w:rFonts w:hint="eastAsia" w:ascii="宋体" w:hAnsi="宋体" w:eastAsia="宋体" w:cs="宋体"/>
          <w:b/>
          <w:bCs/>
          <w:color w:val="FF0000"/>
          <w:spacing w:val="-15"/>
          <w:kern w:val="0"/>
          <w:sz w:val="36"/>
          <w:szCs w:val="36"/>
        </w:rPr>
        <w:t>山东外贸职业学院“不忘初心、牢记使命”主题教育</w:t>
      </w:r>
    </w:p>
    <w:p>
      <w:pPr>
        <w:widowControl/>
        <w:jc w:val="center"/>
        <w:rPr>
          <w:rFonts w:ascii="方正粗黑宋简体" w:hAnsi="方正粗黑宋简体" w:eastAsia="方正粗黑宋简体" w:cs="宋体"/>
          <w:b/>
          <w:bCs/>
          <w:color w:val="FF0000"/>
          <w:kern w:val="0"/>
          <w:sz w:val="116"/>
          <w:szCs w:val="116"/>
        </w:rPr>
      </w:pPr>
      <w:r>
        <w:rPr>
          <w:rFonts w:hint="eastAsia" w:ascii="方正粗黑宋简体" w:hAnsi="方正粗黑宋简体" w:eastAsia="方正粗黑宋简体" w:cs="宋体"/>
          <w:b/>
          <w:bCs/>
          <w:color w:val="FF0000"/>
          <w:kern w:val="0"/>
          <w:sz w:val="116"/>
          <w:szCs w:val="116"/>
        </w:rPr>
        <w:t>简</w:t>
      </w:r>
      <w:r>
        <w:rPr>
          <w:rFonts w:hint="eastAsia" w:ascii="华文中宋" w:hAnsi="华文中宋" w:eastAsia="方正粗黑宋简体" w:cs="宋体"/>
          <w:b/>
          <w:bCs/>
          <w:color w:val="FF0000"/>
          <w:kern w:val="0"/>
          <w:sz w:val="116"/>
          <w:szCs w:val="116"/>
        </w:rPr>
        <w:t>  </w:t>
      </w:r>
      <w:r>
        <w:rPr>
          <w:rFonts w:hint="eastAsia" w:ascii="方正粗黑宋简体" w:hAnsi="方正粗黑宋简体" w:eastAsia="方正粗黑宋简体" w:cs="宋体"/>
          <w:b/>
          <w:bCs/>
          <w:color w:val="FF0000"/>
          <w:kern w:val="0"/>
          <w:sz w:val="116"/>
          <w:szCs w:val="116"/>
        </w:rPr>
        <w:t>报</w:t>
      </w:r>
    </w:p>
    <w:p>
      <w:pPr>
        <w:widowControl/>
        <w:ind w:firstLine="3645"/>
        <w:jc w:val="left"/>
        <w:rPr>
          <w:rFonts w:cs="宋体" w:asciiTheme="majorEastAsia" w:hAnsiTheme="majorEastAsia" w:eastAsiaTheme="majorEastAsia"/>
          <w:b/>
          <w:color w:val="000000"/>
          <w:kern w:val="0"/>
          <w:sz w:val="36"/>
          <w:szCs w:val="36"/>
        </w:rPr>
      </w:pPr>
      <w:r>
        <w:rPr>
          <w:rFonts w:hint="eastAsia" w:cs="宋体" w:asciiTheme="majorEastAsia" w:hAnsiTheme="majorEastAsia" w:eastAsiaTheme="majorEastAsia"/>
          <w:b/>
          <w:color w:val="000000"/>
          <w:kern w:val="0"/>
          <w:sz w:val="36"/>
          <w:szCs w:val="36"/>
        </w:rPr>
        <w:t>（第</w:t>
      </w:r>
      <w:r>
        <w:rPr>
          <w:rFonts w:hint="eastAsia" w:cs="宋体" w:asciiTheme="majorEastAsia" w:hAnsiTheme="majorEastAsia" w:eastAsiaTheme="majorEastAsia"/>
          <w:b/>
          <w:color w:val="000000"/>
          <w:kern w:val="0"/>
          <w:sz w:val="36"/>
          <w:szCs w:val="36"/>
          <w:lang w:val="en-US" w:eastAsia="zh-CN"/>
        </w:rPr>
        <w:t>12</w:t>
      </w:r>
      <w:r>
        <w:rPr>
          <w:rFonts w:hint="eastAsia" w:cs="宋体" w:asciiTheme="majorEastAsia" w:hAnsiTheme="majorEastAsia" w:eastAsiaTheme="majorEastAsia"/>
          <w:b/>
          <w:color w:val="000000"/>
          <w:kern w:val="0"/>
          <w:sz w:val="36"/>
          <w:szCs w:val="36"/>
        </w:rPr>
        <w:t xml:space="preserve">期）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学院主题教育领导小组办室                        2019年</w:t>
      </w:r>
      <w:r>
        <w:rPr>
          <w:rFonts w:ascii="宋体" w:hAnsi="宋体" w:eastAsia="宋体" w:cs="宋体"/>
          <w:color w:val="000000"/>
          <w:kern w:val="0"/>
          <w:szCs w:val="21"/>
        </w:rPr>
        <w:t>1</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日</w:t>
      </w:r>
    </w:p>
    <w:p>
      <w:pPr>
        <w:widowControl/>
        <w:ind w:firstLine="3645"/>
        <w:jc w:val="left"/>
        <w:rPr>
          <w:rFonts w:ascii="宋体" w:hAnsi="宋体" w:eastAsia="宋体" w:cs="宋体"/>
          <w:b/>
          <w:color w:val="FF0000"/>
          <w:kern w:val="0"/>
          <w:sz w:val="29"/>
          <w:szCs w:val="29"/>
        </w:rPr>
      </w:pPr>
      <w:r>
        <w:rPr>
          <w:rFonts w:ascii="宋体" w:hAnsi="宋体" w:eastAsia="宋体" w:cs="宋体"/>
          <w:b/>
          <w:color w:val="FF0000"/>
          <w:kern w:val="0"/>
          <w:sz w:val="29"/>
          <w:szCs w:val="29"/>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118110</wp:posOffset>
                </wp:positionV>
                <wp:extent cx="5486400" cy="0"/>
                <wp:effectExtent l="17145" t="15875" r="20955" b="22225"/>
                <wp:wrapNone/>
                <wp:docPr id="3" name="AutoShape 2"/>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8575">
                          <a:solidFill>
                            <a:srgbClr val="FF0000"/>
                          </a:solidFill>
                          <a:round/>
                        </a:ln>
                      </wps:spPr>
                      <wps:bodyPr/>
                    </wps:wsp>
                  </a:graphicData>
                </a:graphic>
              </wp:anchor>
            </w:drawing>
          </mc:Choice>
          <mc:Fallback>
            <w:pict>
              <v:shape id="AutoShape 2" o:spid="_x0000_s1026" o:spt="32" type="#_x0000_t32" style="position:absolute;left:0pt;margin-left:-6pt;margin-top:9.3pt;height:0pt;width:432pt;z-index:251658240;mso-width-relative:page;mso-height-relative:page;" filled="f" stroked="t" coordsize="21600,21600" o:gfxdata="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HON87VAAAACQEAAA8AAAAAAAAAAQAgAAAAIgAAAGRycy9kb3ducmV2LnhtbFBLAQIU&#10;ABQAAAAIAIdO4kCBiauHvQEAAGUDAAAOAAAAAAAAAAEAIAAAACQBAABkcnMvZTJvRG9jLnhtbFBL&#10;BQYAAAAABgAGAFkBAABTBQAAAAA=&#10;">
                <v:fill on="f" focussize="0,0"/>
                <v:stroke weight="2.25pt" color="#FF0000" joinstyle="round"/>
                <v:imagedata o:title=""/>
                <o:lock v:ext="edit" aspectratio="f"/>
              </v:shape>
            </w:pict>
          </mc:Fallback>
        </mc:AlternateContent>
      </w:r>
    </w:p>
    <w:p>
      <w:pPr>
        <w:pStyle w:val="2"/>
        <w:spacing w:before="0" w:beforeAutospacing="0" w:after="0" w:afterAutospacing="0" w:line="360" w:lineRule="auto"/>
        <w:ind w:firstLine="627" w:firstLineChars="196"/>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11月29日，国资办基建办党支部召开组织生活会。</w:t>
      </w:r>
    </w:p>
    <w:p>
      <w:pPr>
        <w:spacing w:line="360" w:lineRule="auto"/>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2、12月2日，工会团委援外党支部组织团员青年观看党史纪录电影《重生》。</w:t>
      </w:r>
    </w:p>
    <w:p>
      <w:pPr>
        <w:spacing w:line="360" w:lineRule="auto"/>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3、12月2日-4日，泰安校区全体师生为我院驻村“第一书记”帮扶的临清市戴湾镇水城屯南村的贫困户开展爱心捐赠活动。</w:t>
      </w:r>
    </w:p>
    <w:p>
      <w:pPr>
        <w:spacing w:line="360" w:lineRule="auto"/>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4、12月2日，学院举办“宪法宣传周”主题升旗仪式。</w:t>
      </w:r>
    </w:p>
    <w:p>
      <w:pPr>
        <w:pStyle w:val="2"/>
        <w:spacing w:before="0" w:beforeAutospacing="0" w:after="0" w:afterAutospacing="0" w:line="360" w:lineRule="auto"/>
        <w:ind w:firstLine="627" w:firstLineChars="196"/>
        <w:rPr>
          <w:rFonts w:ascii="仿宋_GB2312" w:hAnsi="仿宋_GB2312" w:eastAsia="仿宋_GB2312" w:cs="仿宋_GB2312"/>
          <w:b w:val="0"/>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5、12月5日，基础部党总支召开组织生活会民主评议党员。</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6、12月5日，思政部党总支全体党员学习党的十九届四中全会精神。</w:t>
      </w:r>
    </w:p>
    <w:p>
      <w:pPr>
        <w:pStyle w:val="2"/>
        <w:ind w:firstLine="627" w:firstLineChars="196"/>
        <w:rPr>
          <w:rFonts w:hint="eastAsia" w:ascii="仿宋_GB2312" w:hAnsi="仿宋_GB2312" w:eastAsia="仿宋_GB2312" w:cs="仿宋_GB2312"/>
          <w:b w:val="0"/>
          <w:bCs w:val="0"/>
          <w:color w:val="000000" w:themeColor="text1"/>
          <w:kern w:val="2"/>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7、12月5日，公共英语部党总支两个教工支部组织支部党员开展学习2019年共和国勋章获得者事迹活动。</w:t>
      </w:r>
    </w:p>
    <w:p>
      <w:pPr>
        <w:rPr>
          <w:rFonts w:hint="eastAsia"/>
        </w:rPr>
      </w:pPr>
    </w:p>
    <w:p>
      <w:pPr>
        <w:jc w:val="center"/>
        <w:rPr>
          <w:rFonts w:ascii="方正小标宋简体" w:eastAsia="方正小标宋简体"/>
          <w:sz w:val="44"/>
          <w:szCs w:val="44"/>
        </w:rPr>
      </w:pPr>
      <w:r>
        <w:rPr>
          <w:rFonts w:hint="eastAsia" w:ascii="方正小标宋简体" w:eastAsia="方正小标宋简体"/>
          <w:sz w:val="44"/>
          <w:szCs w:val="44"/>
        </w:rPr>
        <w:t>立足“三个着力点”</w:t>
      </w:r>
    </w:p>
    <w:p>
      <w:pPr>
        <w:jc w:val="center"/>
        <w:rPr>
          <w:rFonts w:ascii="方正小标宋简体" w:eastAsia="方正小标宋简体"/>
          <w:sz w:val="44"/>
          <w:szCs w:val="44"/>
        </w:rPr>
      </w:pPr>
      <w:r>
        <w:rPr>
          <w:rFonts w:hint="eastAsia" w:ascii="方正小标宋简体" w:eastAsia="方正小标宋简体"/>
          <w:sz w:val="44"/>
          <w:szCs w:val="44"/>
        </w:rPr>
        <w:t>全力推动主题教育学深做实</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第二批“不忘初心、牢记使命”主题教育开展以来，在省委第三巡回督导组、省商务厅党组指导组的帮助、指导下，山东外贸职业学院党委立足破解党建与业务“两张皮”、深化教育事业高质量发展和增强师生员工获得感等三个着力点，全力推动主题教育学深做实。</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发挥班子“头雁效应”，着力破解党建与业务“两张皮”。</w:t>
      </w:r>
      <w:r>
        <w:rPr>
          <w:rFonts w:hint="eastAsia" w:ascii="仿宋_GB2312" w:hAnsi="华文仿宋" w:eastAsia="仿宋_GB2312"/>
          <w:sz w:val="32"/>
          <w:szCs w:val="32"/>
        </w:rPr>
        <w:t xml:space="preserve">11月30日，学院与教育部职业技术教育中心研究所签订协议，共建教育部第一个职业教育服务“一带一路”实验基地，并将通过助推行业企业“走出去”、国际化游轮高端人才培养等4大类共11个示范项目，建成“产教融合”于一体的首个示范性实验基地。成为学院党委班子主题教育期间，充分发挥“头雁效应”，紧密联系学院外经贸职业教育实际，将学习贯彻习近平新时代中国特色社会主义思想与落实“一带一路”国家倡议相结合，深入开展学习研讨，达成充分共识，以党建促业务，深化“产教融合”的重要举措。 </w:t>
      </w:r>
    </w:p>
    <w:p>
      <w:pPr>
        <w:ind w:firstLine="640" w:firstLineChars="200"/>
        <w:rPr>
          <w:rFonts w:ascii="仿宋_GB2312" w:eastAsia="仿宋_GB2312"/>
          <w:sz w:val="32"/>
          <w:szCs w:val="32"/>
        </w:rPr>
      </w:pPr>
      <w:r>
        <w:rPr>
          <w:rFonts w:hint="eastAsia" w:ascii="楷体_GB2312" w:hAnsi="华文仿宋" w:eastAsia="楷体_GB2312"/>
          <w:sz w:val="32"/>
          <w:szCs w:val="32"/>
        </w:rPr>
        <w:t>深挖细剖问题症结，着力破解学院高质量发展难题。</w:t>
      </w:r>
      <w:r>
        <w:rPr>
          <w:rFonts w:hint="eastAsia" w:ascii="仿宋_GB2312" w:eastAsia="仿宋_GB2312"/>
          <w:sz w:val="32"/>
          <w:szCs w:val="32"/>
        </w:rPr>
        <w:t>学院领导班子成员结合各自分管工作分别围绕加强党支部建设、泰安两校区融合发展、课程改革、毕业生就业、餐饮服务社会化等涉及学院高质量发展难题，按照“四不两直”要求，深入现场、一线察实情、听民意，提出整改措施。省委第三巡回督导组副组长李成金同志在指导学院主题教育领导班子调研成果交流会点评时深有感触的说，调研问题切口小、靶向准，内容有数据、有深度，提出的措施实、效果好。</w:t>
      </w:r>
    </w:p>
    <w:p>
      <w:pPr>
        <w:ind w:firstLine="640" w:firstLineChars="200"/>
        <w:rPr>
          <w:rFonts w:ascii="仿宋_GB2312" w:eastAsia="仿宋_GB2312"/>
          <w:sz w:val="32"/>
          <w:szCs w:val="32"/>
        </w:rPr>
      </w:pPr>
      <w:r>
        <w:rPr>
          <w:rFonts w:hint="eastAsia" w:ascii="楷体_GB2312" w:hAnsi="华文仿宋" w:eastAsia="楷体_GB2312"/>
          <w:sz w:val="32"/>
          <w:szCs w:val="32"/>
        </w:rPr>
        <w:t>强化整改落地落实，着力增强师生员工获得感。</w:t>
      </w:r>
      <w:r>
        <w:rPr>
          <w:rFonts w:hint="eastAsia" w:ascii="仿宋_GB2312" w:eastAsia="仿宋_GB2312"/>
          <w:sz w:val="32"/>
          <w:szCs w:val="32"/>
        </w:rPr>
        <w:t>干部队伍老龄化，梯次配备不合理，年轻同志看不到希望；职称和岗位评聘历史欠账多，餐饮服务质量不高，师生员工怨气大。针对这些长期积累的“老大难”问题，必须以刀刃向内的勇气、“刮骨疗毒”的决心，坚决予以解决。主题教育期间，学院党委多次召开会议，专题讨论研究，立行立改。研究制定了《山东外贸职业学院中层干部选配任用工作方案》并加紧与上级沟通，全力以赴修订完善现有的职称和岗位评聘办法，推动实施一号食堂餐饮服务社会化试点，同时向师生员工立下军令状，这几项工作必须在本学期末完成。</w:t>
      </w:r>
    </w:p>
    <w:p>
      <w:pPr>
        <w:ind w:firstLine="640" w:firstLineChars="200"/>
        <w:rPr>
          <w:rFonts w:ascii="仿宋_GB2312" w:hAnsi="仿宋" w:eastAsia="仿宋_GB2312" w:cs="宋体"/>
          <w:kern w:val="0"/>
          <w:sz w:val="32"/>
          <w:szCs w:val="32"/>
        </w:rPr>
      </w:pPr>
      <w:r>
        <w:rPr>
          <w:rFonts w:hint="eastAsia" w:ascii="仿宋_GB2312" w:hAnsi="华文仿宋" w:eastAsia="仿宋_GB2312"/>
          <w:sz w:val="32"/>
          <w:szCs w:val="32"/>
        </w:rPr>
        <w:t>一项项整改措施的落实，让师生员工不断加深对学院的认同感、归属感，真正让师生员工感受到了主题教育的新变化</w:t>
      </w:r>
      <w:r>
        <w:rPr>
          <w:rFonts w:hint="eastAsia" w:ascii="仿宋_GB2312" w:hAnsi="仿宋" w:eastAsia="仿宋_GB2312" w:cs="宋体"/>
          <w:kern w:val="0"/>
          <w:sz w:val="32"/>
          <w:szCs w:val="32"/>
        </w:rPr>
        <w:t>。</w:t>
      </w:r>
    </w:p>
    <w:p>
      <w:bookmarkStart w:id="0" w:name="_GoBack"/>
      <w:bookmarkEnd w:id="0"/>
    </w:p>
    <w:p>
      <w:pPr>
        <w:pStyle w:val="2"/>
        <w:rPr>
          <w:sz w:val="32"/>
          <w:szCs w:val="32"/>
        </w:rPr>
      </w:pPr>
    </w:p>
    <w:p>
      <w:pPr>
        <w:snapToGrid w:val="0"/>
        <w:spacing w:line="200" w:lineRule="atLeast"/>
        <w:rPr>
          <w:sz w:val="28"/>
          <w:szCs w:val="28"/>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-635</wp:posOffset>
                </wp:positionV>
                <wp:extent cx="5183505" cy="19050"/>
                <wp:effectExtent l="0" t="7620" r="17145" b="11430"/>
                <wp:wrapNone/>
                <wp:docPr id="1" name="直接箭头连接符 1"/>
                <wp:cNvGraphicFramePr/>
                <a:graphic xmlns:a="http://schemas.openxmlformats.org/drawingml/2006/main">
                  <a:graphicData uri="http://schemas.microsoft.com/office/word/2010/wordprocessingShape">
                    <wps:wsp>
                      <wps:cNvCnPr/>
                      <wps:spPr>
                        <a:xfrm flipV="1">
                          <a:off x="0" y="0"/>
                          <a:ext cx="5183505" cy="1905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8.25pt;margin-top:-0.05pt;height:1.5pt;width:408.15pt;z-index:251660288;mso-width-relative:page;mso-height-relative:page;" filled="f" stroked="t" coordsize="21600,21600" o:gfxdata="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2bhPYAAAABwEAAA8AAAAAAAAAAQAgAAAAIgAAAGRycy9kb3ducmV2LnhtbFBLAQIUABQAAAAI&#10;AIdO4kAuRJvJ7QEAAK0DAAAOAAAAAAAAAAEAIAAAACcBAABkcnMvZTJvRG9jLnhtbFBLBQYAAAAA&#10;BgAGAFkBAACGBQAAAAA=&#10;">
                <v:fill on="f" focussize="0,0"/>
                <v:stroke weight="1.25pt" color="#000000" joinstyle="round"/>
                <v:imagedata o:title=""/>
                <o:lock v:ext="edit" aspectratio="f"/>
              </v:shape>
            </w:pict>
          </mc:Fallback>
        </mc:AlternateContent>
      </w:r>
      <w:r>
        <w:rPr>
          <w:rFonts w:hint="eastAsia"/>
          <w:sz w:val="28"/>
          <w:szCs w:val="28"/>
        </w:rPr>
        <w:t>报：商务厅第二批主题教育领导小组、指导组</w:t>
      </w:r>
    </w:p>
    <w:p>
      <w:pPr>
        <w:snapToGrid w:val="0"/>
        <w:spacing w:line="200" w:lineRule="atLeast"/>
        <w:rPr>
          <w:sz w:val="28"/>
          <w:szCs w:val="28"/>
        </w:rPr>
      </w:pPr>
      <w:r>
        <w:rPr>
          <w:rFonts w:hint="eastAsia"/>
          <w:sz w:val="28"/>
          <w:szCs w:val="28"/>
        </w:rPr>
        <w:t>送：书记、院长、各党委成员</w:t>
      </w:r>
    </w:p>
    <w:p>
      <w:pPr>
        <w:snapToGrid w:val="0"/>
        <w:spacing w:line="200" w:lineRule="atLeast"/>
      </w:pPr>
      <w: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205105</wp:posOffset>
                </wp:positionV>
                <wp:extent cx="5126355" cy="19050"/>
                <wp:effectExtent l="0" t="7620" r="17145" b="11430"/>
                <wp:wrapNone/>
                <wp:docPr id="2" name="直接箭头连接符 2"/>
                <wp:cNvGraphicFramePr/>
                <a:graphic xmlns:a="http://schemas.openxmlformats.org/drawingml/2006/main">
                  <a:graphicData uri="http://schemas.microsoft.com/office/word/2010/wordprocessingShape">
                    <wps:wsp>
                      <wps:cNvCnPr/>
                      <wps:spPr>
                        <a:xfrm flipV="1">
                          <a:off x="0" y="0"/>
                          <a:ext cx="5126355" cy="1905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75pt;margin-top:16.15pt;height:1.5pt;width:403.65pt;z-index:251661312;mso-width-relative:page;mso-height-relative:page;" filled="f" stroked="t" coordsize="21600,21600" o:gfxdata="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qt289kAAAAIAQAADwAAAAAAAAABACAAAAAiAAAAZHJzL2Rvd25yZXYueG1sUEsBAhQAFAAA&#10;AAgAh07iQLhyEOTuAQAArQMAAA4AAAAAAAAAAQAgAAAAKAEAAGRycy9lMm9Eb2MueG1sUEsFBgAA&#10;AAAGAAYAWQEAAIgFAAAAAA==&#10;">
                <v:fill on="f" focussize="0,0"/>
                <v:stroke weight="1.25pt" color="#000000" joinstyle="round"/>
                <v:imagedata o:title=""/>
                <o:lock v:ext="edit" aspectratio="f"/>
              </v:shape>
            </w:pict>
          </mc:Fallback>
        </mc:AlternateContent>
      </w:r>
      <w:r>
        <w:rPr>
          <w:rFonts w:hint="eastAsia"/>
          <w:sz w:val="28"/>
          <w:szCs w:val="28"/>
        </w:rPr>
        <w:t>发：各中层单位、部门    </w:t>
      </w:r>
    </w:p>
    <w:sectPr>
      <w:pgSz w:w="11906" w:h="16838"/>
      <w:pgMar w:top="158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3F"/>
    <w:rsid w:val="00043D7B"/>
    <w:rsid w:val="00074A59"/>
    <w:rsid w:val="000C27C7"/>
    <w:rsid w:val="0013113F"/>
    <w:rsid w:val="001D6889"/>
    <w:rsid w:val="001E23D0"/>
    <w:rsid w:val="002018BE"/>
    <w:rsid w:val="0027586B"/>
    <w:rsid w:val="005C2E35"/>
    <w:rsid w:val="00626838"/>
    <w:rsid w:val="0065074A"/>
    <w:rsid w:val="007E6C09"/>
    <w:rsid w:val="00811FB2"/>
    <w:rsid w:val="009551AB"/>
    <w:rsid w:val="009C46AB"/>
    <w:rsid w:val="009F3D70"/>
    <w:rsid w:val="00AF0C2E"/>
    <w:rsid w:val="00B144C3"/>
    <w:rsid w:val="00BE7A2E"/>
    <w:rsid w:val="00D02209"/>
    <w:rsid w:val="00D40480"/>
    <w:rsid w:val="00D46C5D"/>
    <w:rsid w:val="00D715EE"/>
    <w:rsid w:val="00D86006"/>
    <w:rsid w:val="00D97B1D"/>
    <w:rsid w:val="00E64D90"/>
    <w:rsid w:val="00EA6C62"/>
    <w:rsid w:val="00F3741A"/>
    <w:rsid w:val="00F77C62"/>
    <w:rsid w:val="00FA0F76"/>
    <w:rsid w:val="39416C21"/>
    <w:rsid w:val="504B4CA4"/>
    <w:rsid w:val="5C0B67A4"/>
    <w:rsid w:val="5EF41CDA"/>
    <w:rsid w:val="750F43DD"/>
    <w:rsid w:val="78414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unhideWhenUsed/>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3 Char"/>
    <w:basedOn w:val="7"/>
    <w:link w:val="2"/>
    <w:qFormat/>
    <w:uiPriority w:val="0"/>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Words>
  <Characters>477</Characters>
  <Lines>3</Lines>
  <Paragraphs>1</Paragraphs>
  <TotalTime>1</TotalTime>
  <ScaleCrop>false</ScaleCrop>
  <LinksUpToDate>false</LinksUpToDate>
  <CharactersWithSpaces>559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2019-10-09T02:05:00Z</dcterms:created>
  <dc:creator>Administrator</dc:creator>
  <cp:lastModifiedBy>关键一马扎</cp:lastModifiedBy>
  <cp:lastPrinted>2019-09-15T06:59:00Z</cp:lastPrinted>
  <dcterms:modified xsi:type="dcterms:W3CDTF">2019-12-09T03:23:02Z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